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 </w:t>
      </w:r>
    </w:p>
    <w:p>
      <w:pPr>
        <w:jc w:val="both"/>
      </w:pPr>
      <w:r>
        <w:rPr>
          <w:b w:val="1"/>
          <w:bCs w:val="1"/>
        </w:rPr>
        <w:t xml:space="preserve">1114. Importe de la deuda de la entidad y su evolución durante los cinco años anteriores, incluyendo el endeudamiento por habitante o estudiante y el endeudamiento relativo (Deuda/Presupuesto).</w:t>
      </w:r>
    </w:p>
    <w:p>
      <w:pPr>
        <w:jc w:val="both"/>
      </w:pPr>
      <w:r>
        <w:rPr/>
        <w:t xml:space="preserve">En los años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la deuda ha sido 0€.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2026-09-25T00:58:16+00:00</dcterms:created>
  <dcterms:modified xsi:type="dcterms:W3CDTF">2026-09-25T00:58:16+00:00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