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</w:rPr>
        <w:t xml:space="preserve">Al objeto de dar cumplimiento a los Indicadores de la Ley Canaria de Transparencia (Ley 12/2014, de 26 de diciembre) el  Excmo. Ayuntamiento de La Villa de Moya, pone en conocimiento de la ciudadanía de nuestro municipio y del público en  general, la siguiente información: 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1099.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  <w:r>
        <w:rPr/>
        <w:t xml:space="preserve">En los años </w:t>
      </w:r>
      <w:r>
        <w:rPr>
          <w:b w:val="1"/>
          <w:bCs w:val="1"/>
        </w:rPr>
        <w:t xml:space="preserve">2023, 2024 y 2025</w:t>
      </w:r>
      <w:r>
        <w:rPr/>
        <w:t xml:space="preserve"> no ha habido Planes económico-financieros aprobados para el cumplimiento de los objetivos de estabilidad presupuestaria, de deuda pública y de regla de gasto; planes de reequilibrio aprobados para los supuestos de déficit estructural, y planes de ajuste aprobados por medidas de apoyo a la liquidez, así como informes de seguimiento de todos los anteriores.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2026-06-24T07:29:19+00:00</dcterms:created>
  <dcterms:modified xsi:type="dcterms:W3CDTF">2026-06-24T07:29:19+00:00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