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 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1099. Planes económico-financieros aprobados para el cumplimiento de los objetivos de estabilidad presupuestaria, de deuda pública y de regla de gasto; planes de reequilibrio aprobados para los supuestos de déficit estructural, y planes de ajuste aprobados por medidas de apoyo a la liquidez, así como informes de seguimiento de todos los anteriores.</w:t>
      </w:r>
    </w:p>
    <w:p>
      <w:pPr>
        <w:jc w:val="both"/>
      </w:pPr>
      <w:r>
        <w:rPr/>
        <w:t xml:space="preserve">En los años </w:t>
      </w:r>
      <w:r>
        <w:rPr>
          <w:b w:val="1"/>
          <w:bCs w:val="1"/>
        </w:rPr>
        <w:t xml:space="preserve">2023, 2024 y 2025</w:t>
      </w:r>
      <w:r>
        <w:rPr/>
        <w:t xml:space="preserve"> no ha habido Planes económico-financieros aprobados para el cumplimiento de los objetivos de estabilidad presupuestaria, de deuda pública y de regla de gasto; planes de reequilibrio aprobados para los supuestos de déficit estructural, y planes de ajuste aprobados por medidas de apoyo a la liquidez, así como informes de seguimiento de todos los anteriores.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2026-08-10T06:28:18+00:00</dcterms:created>
  <dcterms:modified xsi:type="dcterms:W3CDTF">2026-08-10T06:28:18+00:00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