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2023, 2024 y 2025 se indica lo siguiente:</w:t>
      </w:r>
    </w:p>
    <w:p>
      <w:pPr/>
      <w:r>
        <w:rPr>
          <w:b w:val="1"/>
          <w:bCs w:val="1"/>
        </w:rPr>
        <w:t xml:space="preserve">1034. Resoluciones que autoricen el ejercicio de la actividad privada al cese de los altos cargos y  asimilados.</w:t>
      </w:r>
    </w:p>
    <w:p>
      <w:pPr/>
      <w:r>
        <w:rPr/>
        <w:t xml:space="preserve">En el año </w:t>
      </w:r>
      <w:r>
        <w:rPr>
          <w:b w:val="1"/>
          <w:bCs w:val="1"/>
        </w:rPr>
        <w:t xml:space="preserve">2023, 2024 y 2025</w:t>
      </w:r>
      <w:r>
        <w:rPr/>
        <w:t xml:space="preserve">  no ha habido resoluciones de compatibilidad.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2026-06-24T08:30:34+00:00</dcterms:created>
  <dcterms:modified xsi:type="dcterms:W3CDTF">2026-06-24T08:30:34+00:00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