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2023 y 2024 se indica lo siguiente:</w:t>
      </w:r>
    </w:p>
    <w:p>
      <w:pPr/>
      <w:r>
        <w:rPr>
          <w:b w:val="1"/>
          <w:bCs w:val="1"/>
        </w:rPr>
        <w:t xml:space="preserve">1041. Planes de ordenación de recursos humanos o instrumentos similares.</w:t>
      </w:r>
    </w:p>
    <w:p>
      <w:pPr/>
      <w:r>
        <w:rPr/>
        <w:t xml:space="preserve">En el año </w:t>
      </w:r>
      <w:r>
        <w:rPr>
          <w:b w:val="1"/>
          <w:bCs w:val="1"/>
        </w:rPr>
        <w:t xml:space="preserve">2022, 2023, 2024 y 2025  </w:t>
      </w:r>
      <w:r>
        <w:rPr/>
        <w:t xml:space="preserve"> Indicar que no existen Planes de ordenación de recursos humanos o instrumentos similares.</w:t>
      </w:r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2026-06-24T08:29:48+00:00</dcterms:created>
  <dcterms:modified xsi:type="dcterms:W3CDTF">2026-06-24T08:29:48+00:00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