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>
        <w:jc w:val="both"/>
      </w:pPr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1047. Identificación personal, puesto de trabajo que desempeña y actividad o actividades para las que se autoriza la compatibilidad, así como, en su caso, Boletín Oficial en el que se publicaron tales autorizaciones.</w:t>
      </w:r>
    </w:p>
    <w:p>
      <w:pPr/>
      <w:r>
        <w:rPr/>
        <w:t xml:space="preserve">Indicar que no ha habido resoluciones de compatibilidad  en el ejercicio </w:t>
      </w:r>
      <w:r>
        <w:rPr>
          <w:b w:val="1"/>
          <w:bCs w:val="1"/>
        </w:rPr>
        <w:t xml:space="preserve">2023, 2024 y 2025.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2026-05-09T12:36:00+00:00</dcterms:created>
  <dcterms:modified xsi:type="dcterms:W3CDTF">2026-05-09T12:36:00+00:00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