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 </w:t>
      </w:r>
      <w:r>
        <w:rPr>
          <w:b w:val="1"/>
          <w:bCs w:val="1"/>
        </w:rPr>
        <w:t xml:space="preserve">ni en 2023, 2024 y 2025,  esta administración ha tenido otorgado indeminizaciones por abandono del cargo</w:t>
      </w:r>
      <w:r>
        <w:rPr/>
        <w:t xml:space="preserve"> 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Indemnizaciones por abandono del cargo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2026-08-10T06:29:46+00:00</dcterms:created>
  <dcterms:modified xsi:type="dcterms:W3CDTF">2026-08-10T06:29:46+00:00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