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Al objeto de dar cumplimiento a los Indicadores de la Ley Canaria de Transparencia y de acceso a la información pública (Ley 12/2014, de 26 de diciembre) en su apartado , el Ayuntamiento de la Villa de Moya, pone en conocimiento de la ciudadanía del municipio y del público en general que </w:t>
      </w:r>
      <w:r>
        <w:rPr>
          <w:b w:val="1"/>
          <w:bCs w:val="1"/>
        </w:rPr>
        <w:t xml:space="preserve">ni en 2023, 2024 y 2025,  esta administración ha tenido otorgado indeminizaciones por abandono del cargo</w:t>
      </w:r>
      <w:r>
        <w:rPr/>
        <w:t xml:space="preserve"> suponiéndose por tanto la no existencia de tal actividad,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3863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6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6350" w:type="pct"/>
          </w:tcPr>
          <w:p>
            <w:pPr/>
            <w:r>
              <w:rPr/>
              <w:t xml:space="preserve">Inexsistencia de Indemnizaciones por abandono del cargo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2026-06-24T08:30:46+00:00</dcterms:created>
  <dcterms:modified xsi:type="dcterms:W3CDTF">2026-06-24T08:30:46+00:00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