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Al objeto de dar cumplimiento a los Indicadores de la Ley Canaria de Transparencia y de acceso a la información pública (Ley 12/2014, de 26 de diciembre) en su apartado , el Ayuntamiento de la Villa de Moya, pone en conocimiento de la ciudadanía del municipio y del público en general que </w:t>
      </w:r>
      <w:r>
        <w:rPr>
          <w:b w:val="1"/>
          <w:bCs w:val="1"/>
        </w:rPr>
        <w:t xml:space="preserve">ni durante el 2022, 2023, 2024 y 2025 esta administración ha tenido gastos de representación</w:t>
      </w:r>
      <w:r>
        <w:rPr/>
        <w:t xml:space="preserve"> suponiéndose por tanto la no existencia de tal actividad,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Inexsistencia de Gastos de Representación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2026-05-09T12:34:36+00:00</dcterms:created>
  <dcterms:modified xsi:type="dcterms:W3CDTF">2026-05-09T12:34:36+00:00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