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durante el </w:t>
      </w:r>
      <w:r>
        <w:rPr>
          <w:b w:val="1"/>
          <w:bCs w:val="1"/>
        </w:rPr>
        <w:t xml:space="preserve">2023, 2024 y 2025,  </w:t>
      </w:r>
      <w:r>
        <w:rPr/>
        <w:t xml:space="preserve">esta administración</w:t>
      </w:r>
      <w:r>
        <w:rPr>
          <w:b w:val="1"/>
          <w:bCs w:val="1"/>
        </w:rPr>
        <w:t xml:space="preserve"> no dispuso de personal de confianza o eventual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Durante la legislatura 2023-2027 no se prevé contratación de personal de confianza.</w:t>
      </w:r>
    </w:p>
    <w:p>
      <w:pPr>
        <w:jc w:val="both"/>
      </w:pPr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Personal de Confianza o eventual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2026-05-09T12:35:46+00:00</dcterms:created>
  <dcterms:modified xsi:type="dcterms:W3CDTF">2026-05-09T12:35:46+00:00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