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 durante el </w:t>
      </w:r>
      <w:r>
        <w:rPr>
          <w:b w:val="1"/>
          <w:bCs w:val="1"/>
        </w:rPr>
        <w:t xml:space="preserve">2023, 2024 y 2025,  </w:t>
      </w:r>
      <w:r>
        <w:rPr/>
        <w:t xml:space="preserve">esta administración</w:t>
      </w:r>
      <w:r>
        <w:rPr>
          <w:b w:val="1"/>
          <w:bCs w:val="1"/>
        </w:rPr>
        <w:t xml:space="preserve"> no dispuso de personal de confianza o eventual</w:t>
      </w:r>
      <w:r>
        <w:rPr/>
        <w:t xml:space="preserve"> suponiéndose por tanto la no existencia de tal actividad,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Durante la legislatura 2023-2027 no se prevé contratación de personal de confianza.</w:t>
      </w:r>
    </w:p>
    <w:p>
      <w:pPr>
        <w:jc w:val="both"/>
      </w:pPr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Personal de Confianza o eventual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2026-06-24T07:29:35+00:00</dcterms:created>
  <dcterms:modified xsi:type="dcterms:W3CDTF">2026-06-24T07:29:35+00:00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