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  <w:spacing w:after="0"/>
      </w:pPr>
      <w:r>
        <w:rPr/>
        <w:t xml:space="preserve"> Al objeto de dar cumplimiento a los Indicadores de la Ley Canaria de Transparencia y de acceso a la información pública (Ley 12/2014, de 26 de diciembre) en su apartado 8. Económica - financiera / 1116 Operaciones de préstamo, crédito y emisiones de deuda pública en todas sus modalidades; </w:t>
      </w:r>
      <w:r>
        <w:rPr>
          <w:b w:val="1"/>
          <w:bCs w:val="1"/>
        </w:rPr>
        <w:t xml:space="preserve">avales y garantías prestadas en cualquier clase de crédito</w:t>
      </w:r>
      <w:r>
        <w:rPr/>
        <w:t xml:space="preserve">; y operaciones de arrendamiento financiero de la entidad, el Ayuntamiento de la Villa de Moya, pone en conocimiento de la ciudadanía del municipio y del público en general que durante los ejercicios 2020 y 2021, no se concertaron avales ni garantías, pudiendo utilizar la ciudadanía los medios legalmente establecidos para ejercer su derecho de acceso a la información pública. </w:t>
      </w:r>
    </w:p>
    <w:p>
      <w:pPr>
        <w:jc w:val="both"/>
      </w:pPr>
      <w:r>
        <w:rPr>
          <w:b w:val="1"/>
          <w:bCs w:val="1"/>
        </w:rPr>
        <w:t xml:space="preserve">                                              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2026-06-24T08:29:57+00:00</dcterms:created>
  <dcterms:modified xsi:type="dcterms:W3CDTF">2026-06-24T08:29:57+00:00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