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6. Normativa sobre "1074 - Sentencias que afecten a la vigencia e interpretación de las normas dictadas por la entidad", el Ayuntamiento de la Villa de Moya, confirma que durante los ejercicios</w:t>
      </w:r>
      <w:r>
        <w:rPr>
          <w:b w:val="1"/>
          <w:bCs w:val="1"/>
        </w:rPr>
        <w:t xml:space="preserve"> 2020, 2021, 2023, 2024 ni 2025 no han existido sentencias que afecten a la interpretación de su propia normativa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2026-06-24T07:31:12+00:00</dcterms:created>
  <dcterms:modified xsi:type="dcterms:W3CDTF">2026-06-24T07:31:12+00:00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