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2024</w:t>
      </w:r>
    </w:p>
    <w:p>
      <w:pPr>
        <w:jc w:val="both"/>
      </w:pPr>
      <w:r>
        <w:rPr/>
        <w:t xml:space="preserve">En los años 2022, 2023, y 2025 no existen liberados sindicales, si bien el cuerpo de laborales tiene 9 miembros sindicales de 3 sindicatos diferentes y tienen a su disposición un número de 20 horas semanales por miembro.</w:t>
      </w:r>
    </w:p>
    <w:p>
      <w:pPr>
        <w:jc w:val="both"/>
      </w:pPr>
      <w:r>
        <w:rPr/>
        <w:t xml:space="preserve">El cuerpo de funcionarios tiene un solo representante sindical.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Liberados sindicales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2024</w:t>
            </w:r>
          </w:p>
        </w:tc>
        <w:tc>
          <w:tcPr>
            <w:tcW w:w="5000" w:type="pct"/>
          </w:tcPr>
          <w:p>
            <w:pPr/>
            <w:r>
              <w:rPr/>
              <w:t xml:space="preserve">Liberados sindicales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jc w:val="center"/>
      </w:pPr>
      <w:r>
        <w:rPr>
          <w:b w:val="1"/>
          <w:bCs w:val="1"/>
        </w:rPr>
        <w:t xml:space="preserve">2023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2022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2021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2020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2026-08-10T06:27:20+00:00</dcterms:created>
  <dcterms:modified xsi:type="dcterms:W3CDTF">2026-08-10T06:27:20+00:00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