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/>
        <w:t xml:space="preserve">Dedicación y retribuciones de los concejales de la corporación 2023-2027: </w:t>
      </w:r>
    </w:p>
    <w:p>
      <w:pPr/>
      <w:r>
        <w:rPr/>
        <w:t xml:space="preserve">Los concejales con </w:t>
      </w:r>
      <w:r>
        <w:rPr>
          <w:b w:val="1"/>
          <w:bCs w:val="1"/>
        </w:rPr>
        <w:t xml:space="preserve">dedicación </w:t>
      </w:r>
      <w:r>
        <w:rPr/>
        <w:t xml:space="preserve">exclusiva y parcial que se relaciona a continuación, con las retribuciones brutas mensuales en 14 pagas anuales, que se actualizarán cada año con la LPGE.</w:t>
      </w:r>
    </w:p>
    <w:p>
      <w:pPr/>
      <w:r>
        <w:rPr/>
        <w:t xml:space="preserve"> </w:t>
      </w:r>
    </w:p>
    <w:tbl>
      <w:tblGrid>
        <w:gridCol w:w="5000" w:type="dxa"/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  <w:shd w:val="clear" w:fill="8fbf88"/>
          </w:tcPr>
          <w:p>
            <w:pPr>
              <w:jc w:val="center"/>
            </w:pPr>
            <w:r>
              <w:rPr>
                <w:color w:val="ffffff"/>
                <w:sz w:val="22.5"/>
                <w:szCs w:val="22.5"/>
                <w:shd w:val="clear" w:fill="8fbf88"/>
              </w:rPr>
              <w:t xml:space="preserve">APELLIDOS Y NOMBRE</w:t>
            </w:r>
          </w:p>
        </w:tc>
        <w:tc>
          <w:tcPr>
            <w:tcW w:w="5000" w:type="pct"/>
            <w:shd w:val="clear" w:fill="8fbf88"/>
          </w:tcPr>
          <w:p>
            <w:pPr>
              <w:jc w:val="center"/>
            </w:pPr>
            <w:r>
              <w:rPr>
                <w:color w:val="ffffff"/>
                <w:sz w:val="22.5"/>
                <w:szCs w:val="22.5"/>
                <w:shd w:val="clear" w:fill="8fbf88"/>
              </w:rPr>
              <w:t xml:space="preserve">DEDICACIÓN</w:t>
            </w:r>
          </w:p>
        </w:tc>
        <w:tc>
          <w:tcPr>
            <w:tcW w:w="5000" w:type="pct"/>
            <w:shd w:val="clear" w:fill="8fbf88"/>
          </w:tcPr>
          <w:p>
            <w:pPr>
              <w:jc w:val="center"/>
            </w:pPr>
            <w:r>
              <w:rPr>
                <w:color w:val="ffffff"/>
                <w:sz w:val="22.5"/>
                <w:szCs w:val="22.5"/>
                <w:shd w:val="clear" w:fill="8fbf88"/>
              </w:rPr>
              <w:t xml:space="preserve">IMPORTE</w:t>
            </w:r>
          </w:p>
        </w:tc>
      </w:tr>
      <w:tr>
        <w:trPr/>
        <w:tc>
          <w:tcPr>
            <w:tcW w:w="5000" w:type="pct"/>
            <w:shd w:val="clear" w:fill="e9e9e9"/>
          </w:tcPr>
          <w:p>
            <w:pPr/>
            <w:r>
              <w:rPr>
                <w:sz w:val="22.5"/>
                <w:szCs w:val="22.5"/>
                <w:shd w:val="clear" w:fill="e9e9e9"/>
              </w:rPr>
              <w:t xml:space="preserve">Raúl Afonso Suárez</w:t>
            </w:r>
          </w:p>
        </w:tc>
        <w:tc>
          <w:tcPr>
            <w:tcW w:w="5000" w:type="pct"/>
            <w:shd w:val="clear" w:fill="e9e9e9"/>
          </w:tcPr>
          <w:p>
            <w:pPr>
              <w:jc w:val="center"/>
            </w:pPr>
            <w:r>
              <w:rPr>
                <w:sz w:val="22.5"/>
                <w:szCs w:val="22.5"/>
                <w:shd w:val="clear" w:fill="e9e9e9"/>
              </w:rPr>
              <w:t xml:space="preserve">Exclusiva</w:t>
            </w:r>
          </w:p>
        </w:tc>
        <w:tc>
          <w:tcPr>
            <w:tcW w:w="5000" w:type="pct"/>
            <w:shd w:val="clear" w:fill="e9e9e9"/>
          </w:tcPr>
          <w:p>
            <w:pPr>
              <w:jc w:val="center"/>
            </w:pPr>
            <w:r>
              <w:rPr>
                <w:sz w:val="22.5"/>
                <w:szCs w:val="22.5"/>
                <w:shd w:val="clear" w:fill="e9e9e9"/>
              </w:rPr>
              <w:t xml:space="preserve">44.800</w:t>
            </w:r>
          </w:p>
        </w:tc>
      </w:tr>
      <w:tr>
        <w:trPr/>
        <w:tc>
          <w:tcPr>
            <w:tcW w:w="5000" w:type="pct"/>
            <w:shd w:val="clear" w:fill="e9e9e9"/>
          </w:tcPr>
          <w:p>
            <w:pPr/>
            <w:r>
              <w:rPr>
                <w:sz w:val="22.5"/>
                <w:szCs w:val="22.5"/>
                <w:shd w:val="clear" w:fill="e9e9e9"/>
              </w:rPr>
              <w:t xml:space="preserve">Octavio Pedro Suárez García</w:t>
            </w:r>
          </w:p>
        </w:tc>
        <w:tc>
          <w:tcPr>
            <w:tcW w:w="5000" w:type="pct"/>
            <w:shd w:val="clear" w:fill="e9e9e9"/>
          </w:tcPr>
          <w:p>
            <w:pPr>
              <w:jc w:val="center"/>
            </w:pPr>
            <w:r>
              <w:rPr>
                <w:sz w:val="22.5"/>
                <w:szCs w:val="22.5"/>
                <w:shd w:val="clear" w:fill="e9e9e9"/>
              </w:rPr>
              <w:t xml:space="preserve">Parcial (76,16%)</w:t>
            </w:r>
          </w:p>
        </w:tc>
        <w:tc>
          <w:tcPr>
            <w:tcW w:w="5000" w:type="pct"/>
            <w:shd w:val="clear" w:fill="e9e9e9"/>
          </w:tcPr>
          <w:p>
            <w:pPr>
              <w:jc w:val="center"/>
            </w:pPr>
            <w:r>
              <w:rPr>
                <w:sz w:val="22.5"/>
                <w:szCs w:val="22.5"/>
                <w:shd w:val="clear" w:fill="e9e9e9"/>
              </w:rPr>
              <w:t xml:space="preserve">34.122,48</w:t>
            </w:r>
          </w:p>
        </w:tc>
      </w:tr>
      <w:tr>
        <w:trPr/>
        <w:tc>
          <w:tcPr>
            <w:tcW w:w="5000" w:type="pct"/>
            <w:shd w:val="clear" w:fill="e9e9e9"/>
          </w:tcPr>
          <w:p>
            <w:pPr/>
            <w:r>
              <w:rPr>
                <w:sz w:val="22.5"/>
                <w:szCs w:val="22.5"/>
                <w:shd w:val="clear" w:fill="e9e9e9"/>
              </w:rPr>
              <w:t xml:space="preserve">Ana Belén Rivero Medina</w:t>
            </w:r>
          </w:p>
        </w:tc>
        <w:tc>
          <w:tcPr>
            <w:tcW w:w="5000" w:type="pct"/>
            <w:shd w:val="clear" w:fill="e9e9e9"/>
          </w:tcPr>
          <w:p>
            <w:pPr>
              <w:jc w:val="center"/>
            </w:pPr>
            <w:r>
              <w:rPr>
                <w:sz w:val="22.5"/>
                <w:szCs w:val="22.5"/>
                <w:shd w:val="clear" w:fill="e9e9e9"/>
              </w:rPr>
              <w:t xml:space="preserve">Parcial (63,25 %)</w:t>
            </w:r>
          </w:p>
        </w:tc>
        <w:tc>
          <w:tcPr>
            <w:tcW w:w="5000" w:type="pct"/>
            <w:shd w:val="clear" w:fill="e9e9e9"/>
          </w:tcPr>
          <w:p>
            <w:pPr>
              <w:jc w:val="center"/>
            </w:pPr>
            <w:r>
              <w:rPr>
                <w:sz w:val="22.5"/>
                <w:szCs w:val="22.5"/>
                <w:shd w:val="clear" w:fill="e9e9e9"/>
              </w:rPr>
              <w:t xml:space="preserve">28.337,56</w:t>
            </w:r>
          </w:p>
        </w:tc>
      </w:tr>
      <w:tr>
        <w:trPr/>
        <w:tc>
          <w:tcPr>
            <w:tcW w:w="5000" w:type="pct"/>
            <w:shd w:val="clear" w:fill="e9e9e9"/>
          </w:tcPr>
          <w:p>
            <w:pPr/>
            <w:r>
              <w:rPr>
                <w:sz w:val="22.5"/>
                <w:szCs w:val="22.5"/>
                <w:shd w:val="clear" w:fill="e9e9e9"/>
              </w:rPr>
              <w:t xml:space="preserve">Lucia Rosa Rodríguez Batista</w:t>
            </w:r>
          </w:p>
        </w:tc>
        <w:tc>
          <w:tcPr>
            <w:tcW w:w="5000" w:type="pct"/>
            <w:shd w:val="clear" w:fill="e9e9e9"/>
          </w:tcPr>
          <w:p>
            <w:pPr>
              <w:jc w:val="center"/>
            </w:pPr>
            <w:r>
              <w:rPr>
                <w:sz w:val="22.5"/>
                <w:szCs w:val="22.5"/>
                <w:shd w:val="clear" w:fill="e9e9e9"/>
              </w:rPr>
              <w:t xml:space="preserve">Parcial (76,16%)</w:t>
            </w:r>
          </w:p>
        </w:tc>
        <w:tc>
          <w:tcPr>
            <w:tcW w:w="5000" w:type="pct"/>
            <w:shd w:val="clear" w:fill="e9e9e9"/>
          </w:tcPr>
          <w:p>
            <w:pPr>
              <w:jc w:val="center"/>
            </w:pPr>
            <w:r>
              <w:rPr>
                <w:sz w:val="22.5"/>
                <w:szCs w:val="22.5"/>
                <w:shd w:val="clear" w:fill="e9e9e9"/>
              </w:rPr>
              <w:t xml:space="preserve">34.122,48</w:t>
            </w:r>
          </w:p>
        </w:tc>
      </w:tr>
      <w:tr>
        <w:trPr/>
        <w:tc>
          <w:tcPr>
            <w:tcW w:w="5000" w:type="pct"/>
            <w:shd w:val="clear" w:fill="e9e9e9"/>
          </w:tcPr>
          <w:p>
            <w:pPr/>
            <w:r>
              <w:rPr>
                <w:sz w:val="22.5"/>
                <w:szCs w:val="22.5"/>
                <w:shd w:val="clear" w:fill="e9e9e9"/>
              </w:rPr>
              <w:t xml:space="preserve">Bernabé Martín Guerra Ojeda</w:t>
            </w:r>
          </w:p>
        </w:tc>
        <w:tc>
          <w:tcPr>
            <w:tcW w:w="5000" w:type="pct"/>
            <w:shd w:val="clear" w:fill="e9e9e9"/>
          </w:tcPr>
          <w:p>
            <w:pPr>
              <w:jc w:val="center"/>
            </w:pPr>
            <w:r>
              <w:rPr>
                <w:sz w:val="22.5"/>
                <w:szCs w:val="22.5"/>
                <w:shd w:val="clear" w:fill="e9e9e9"/>
              </w:rPr>
              <w:t xml:space="preserve">Sin dedicación</w:t>
            </w:r>
          </w:p>
        </w:tc>
        <w:tc>
          <w:tcPr>
            <w:tcW w:w="5000" w:type="pct"/>
            <w:shd w:val="clear" w:fill="e9e9e9"/>
          </w:tcPr>
          <w:p>
            <w:pPr>
              <w:jc w:val="center"/>
            </w:pPr>
            <w:r>
              <w:rPr>
                <w:sz w:val="22.5"/>
                <w:szCs w:val="22.5"/>
                <w:shd w:val="clear" w:fill="e9e9e9"/>
              </w:rPr>
              <w:t xml:space="preserve"> </w:t>
            </w:r>
          </w:p>
        </w:tc>
      </w:tr>
      <w:tr>
        <w:trPr/>
        <w:tc>
          <w:tcPr>
            <w:tcW w:w="5000" w:type="pct"/>
            <w:shd w:val="clear" w:fill="e9e9e9"/>
          </w:tcPr>
          <w:p>
            <w:pPr/>
            <w:r>
              <w:rPr>
                <w:sz w:val="22.5"/>
                <w:szCs w:val="22.5"/>
                <w:shd w:val="clear" w:fill="e9e9e9"/>
              </w:rPr>
              <w:t xml:space="preserve">Lidia Esther Rodríguez Díaz</w:t>
            </w:r>
          </w:p>
        </w:tc>
        <w:tc>
          <w:tcPr>
            <w:tcW w:w="5000" w:type="pct"/>
            <w:shd w:val="clear" w:fill="e9e9e9"/>
          </w:tcPr>
          <w:p>
            <w:pPr>
              <w:jc w:val="center"/>
            </w:pPr>
            <w:r>
              <w:rPr>
                <w:sz w:val="22.5"/>
                <w:szCs w:val="22.5"/>
                <w:shd w:val="clear" w:fill="e9e9e9"/>
              </w:rPr>
              <w:t xml:space="preserve">Parcial (63,25 %)</w:t>
            </w:r>
          </w:p>
        </w:tc>
        <w:tc>
          <w:tcPr>
            <w:tcW w:w="5000" w:type="pct"/>
            <w:shd w:val="clear" w:fill="e9e9e9"/>
          </w:tcPr>
          <w:p>
            <w:pPr>
              <w:jc w:val="center"/>
            </w:pPr>
            <w:r>
              <w:rPr>
                <w:sz w:val="22.5"/>
                <w:szCs w:val="22.5"/>
                <w:shd w:val="clear" w:fill="e9e9e9"/>
              </w:rPr>
              <w:t xml:space="preserve">28.337,56</w:t>
            </w:r>
          </w:p>
        </w:tc>
      </w:tr>
      <w:tr>
        <w:trPr/>
        <w:tc>
          <w:tcPr>
            <w:tcW w:w="5000" w:type="pct"/>
            <w:shd w:val="clear" w:fill="e9e9e9"/>
          </w:tcPr>
          <w:p>
            <w:pPr/>
            <w:r>
              <w:rPr>
                <w:sz w:val="22.5"/>
                <w:szCs w:val="22.5"/>
                <w:shd w:val="clear" w:fill="e9e9e9"/>
              </w:rPr>
              <w:t xml:space="preserve">Santiago Santana de la Fe</w:t>
            </w:r>
          </w:p>
        </w:tc>
        <w:tc>
          <w:tcPr>
            <w:tcW w:w="5000" w:type="pct"/>
            <w:shd w:val="clear" w:fill="e9e9e9"/>
          </w:tcPr>
          <w:p>
            <w:pPr>
              <w:jc w:val="center"/>
            </w:pPr>
            <w:r>
              <w:rPr>
                <w:sz w:val="22.5"/>
                <w:szCs w:val="22.5"/>
                <w:shd w:val="clear" w:fill="e9e9e9"/>
              </w:rPr>
              <w:t xml:space="preserve">Parcial (76,16%)</w:t>
            </w:r>
          </w:p>
        </w:tc>
        <w:tc>
          <w:tcPr>
            <w:tcW w:w="5000" w:type="pct"/>
            <w:shd w:val="clear" w:fill="e9e9e9"/>
          </w:tcPr>
          <w:p>
            <w:pPr>
              <w:jc w:val="center"/>
            </w:pPr>
            <w:r>
              <w:rPr>
                <w:sz w:val="22.5"/>
                <w:szCs w:val="22.5"/>
                <w:shd w:val="clear" w:fill="e9e9e9"/>
              </w:rPr>
              <w:t xml:space="preserve">34.122,48</w:t>
            </w:r>
          </w:p>
        </w:tc>
      </w:tr>
      <w:tr>
        <w:trPr/>
        <w:tc>
          <w:tcPr>
            <w:tcW w:w="5000" w:type="pct"/>
            <w:shd w:val="clear" w:fill="e9e9e9"/>
          </w:tcPr>
          <w:p>
            <w:pPr/>
            <w:r>
              <w:rPr>
                <w:sz w:val="22.5"/>
                <w:szCs w:val="22.5"/>
                <w:shd w:val="clear" w:fill="e9e9e9"/>
              </w:rPr>
              <w:t xml:space="preserve">Gilberto Sosa Betancor</w:t>
            </w:r>
          </w:p>
        </w:tc>
        <w:tc>
          <w:tcPr>
            <w:tcW w:w="5000" w:type="pct"/>
            <w:shd w:val="clear" w:fill="e9e9e9"/>
          </w:tcPr>
          <w:p>
            <w:pPr>
              <w:jc w:val="center"/>
            </w:pPr>
            <w:r>
              <w:rPr>
                <w:sz w:val="22.5"/>
                <w:szCs w:val="22.5"/>
                <w:shd w:val="clear" w:fill="e9e9e9"/>
              </w:rPr>
              <w:t xml:space="preserve">Parcial (63,25 %)</w:t>
            </w:r>
          </w:p>
        </w:tc>
        <w:tc>
          <w:tcPr>
            <w:tcW w:w="5000" w:type="pct"/>
            <w:shd w:val="clear" w:fill="e9e9e9"/>
          </w:tcPr>
          <w:p>
            <w:pPr>
              <w:jc w:val="center"/>
            </w:pPr>
            <w:r>
              <w:rPr>
                <w:sz w:val="22.5"/>
                <w:szCs w:val="22.5"/>
                <w:shd w:val="clear" w:fill="e9e9e9"/>
              </w:rPr>
              <w:t xml:space="preserve">28.337,56</w:t>
            </w:r>
          </w:p>
        </w:tc>
      </w:tr>
      <w:tr>
        <w:trPr/>
        <w:tc>
          <w:tcPr>
            <w:tcW w:w="5000" w:type="pct"/>
            <w:shd w:val="clear" w:fill="e9e9e9"/>
          </w:tcPr>
          <w:p>
            <w:pPr/>
            <w:r>
              <w:rPr>
                <w:sz w:val="22.5"/>
                <w:szCs w:val="22.5"/>
                <w:shd w:val="clear" w:fill="e9e9e9"/>
              </w:rPr>
              <w:t xml:space="preserve">Concepción Hernández Rodríguez</w:t>
            </w:r>
          </w:p>
        </w:tc>
        <w:tc>
          <w:tcPr>
            <w:tcW w:w="5000" w:type="pct"/>
            <w:shd w:val="clear" w:fill="e9e9e9"/>
          </w:tcPr>
          <w:p>
            <w:pPr>
              <w:jc w:val="center"/>
            </w:pPr>
            <w:r>
              <w:rPr>
                <w:sz w:val="22.5"/>
                <w:szCs w:val="22.5"/>
                <w:shd w:val="clear" w:fill="e9e9e9"/>
              </w:rPr>
              <w:t xml:space="preserve">Sin dedicación</w:t>
            </w:r>
          </w:p>
        </w:tc>
        <w:tc>
          <w:tcPr>
            <w:tcW w:w="5000" w:type="pct"/>
            <w:shd w:val="clear" w:fill="e9e9e9"/>
          </w:tcPr>
          <w:p>
            <w:pPr>
              <w:jc w:val="center"/>
            </w:pPr>
            <w:r>
              <w:rPr>
                <w:sz w:val="22.5"/>
                <w:szCs w:val="22.5"/>
                <w:shd w:val="clear" w:fill="e9e9e9"/>
              </w:rPr>
              <w:t xml:space="preserve"> </w:t>
            </w:r>
          </w:p>
        </w:tc>
      </w:tr>
      <w:tr>
        <w:trPr/>
        <w:tc>
          <w:tcPr>
            <w:tcW w:w="5000" w:type="pct"/>
            <w:shd w:val="clear" w:fill="e9e9e9"/>
          </w:tcPr>
          <w:p>
            <w:pPr/>
            <w:r>
              <w:rPr>
                <w:sz w:val="22.5"/>
                <w:szCs w:val="22.5"/>
                <w:shd w:val="clear" w:fill="e9e9e9"/>
              </w:rPr>
              <w:t xml:space="preserve">Zaira María Quintana Suárez</w:t>
            </w:r>
          </w:p>
        </w:tc>
        <w:tc>
          <w:tcPr>
            <w:tcW w:w="5000" w:type="pct"/>
            <w:shd w:val="clear" w:fill="e9e9e9"/>
          </w:tcPr>
          <w:p>
            <w:pPr>
              <w:jc w:val="center"/>
            </w:pPr>
            <w:r>
              <w:rPr>
                <w:sz w:val="22.5"/>
                <w:szCs w:val="22.5"/>
                <w:shd w:val="clear" w:fill="e9e9e9"/>
              </w:rPr>
              <w:t xml:space="preserve">Sin dedicación</w:t>
            </w:r>
          </w:p>
        </w:tc>
        <w:tc>
          <w:tcPr>
            <w:tcW w:w="5000" w:type="pct"/>
            <w:shd w:val="clear" w:fill="e9e9e9"/>
          </w:tcPr>
          <w:p>
            <w:pPr>
              <w:jc w:val="center"/>
            </w:pPr>
            <w:r>
              <w:rPr>
                <w:sz w:val="22.5"/>
                <w:szCs w:val="22.5"/>
                <w:shd w:val="clear" w:fill="e9e9e9"/>
              </w:rPr>
              <w:t xml:space="preserve"> </w:t>
            </w:r>
          </w:p>
        </w:tc>
      </w:tr>
      <w:tr>
        <w:trPr/>
        <w:tc>
          <w:tcPr>
            <w:tcW w:w="5000" w:type="pct"/>
            <w:shd w:val="clear" w:fill="e9e9e9"/>
          </w:tcPr>
          <w:p>
            <w:pPr/>
            <w:r>
              <w:rPr>
                <w:sz w:val="22.5"/>
                <w:szCs w:val="22.5"/>
                <w:shd w:val="clear" w:fill="e9e9e9"/>
              </w:rPr>
              <w:t xml:space="preserve">María Rosa García García</w:t>
            </w:r>
          </w:p>
        </w:tc>
        <w:tc>
          <w:tcPr>
            <w:tcW w:w="5000" w:type="pct"/>
            <w:shd w:val="clear" w:fill="e9e9e9"/>
          </w:tcPr>
          <w:p>
            <w:pPr>
              <w:jc w:val="center"/>
            </w:pPr>
            <w:r>
              <w:rPr>
                <w:sz w:val="22.5"/>
                <w:szCs w:val="22.5"/>
                <w:shd w:val="clear" w:fill="e9e9e9"/>
              </w:rPr>
              <w:t xml:space="preserve">Sin dedicación</w:t>
            </w:r>
          </w:p>
        </w:tc>
        <w:tc>
          <w:tcPr>
            <w:tcW w:w="5000" w:type="pct"/>
            <w:shd w:val="clear" w:fill="e9e9e9"/>
          </w:tcPr>
          <w:p>
            <w:pPr>
              <w:jc w:val="center"/>
            </w:pPr>
            <w:r>
              <w:rPr>
                <w:sz w:val="22.5"/>
                <w:szCs w:val="22.5"/>
                <w:shd w:val="clear" w:fill="e9e9e9"/>
              </w:rPr>
              <w:t xml:space="preserve"> </w:t>
            </w:r>
          </w:p>
        </w:tc>
      </w:tr>
      <w:tr>
        <w:trPr/>
        <w:tc>
          <w:tcPr>
            <w:tcW w:w="5000" w:type="pct"/>
            <w:shd w:val="clear" w:fill="e9e9e9"/>
          </w:tcPr>
          <w:p>
            <w:pPr/>
            <w:r>
              <w:rPr>
                <w:sz w:val="22.5"/>
                <w:szCs w:val="22.5"/>
                <w:shd w:val="clear" w:fill="e9e9e9"/>
              </w:rPr>
              <w:t xml:space="preserve">Daniel Alejandro Ponce Fleitas</w:t>
            </w:r>
          </w:p>
        </w:tc>
        <w:tc>
          <w:tcPr>
            <w:tcW w:w="5000" w:type="pct"/>
            <w:shd w:val="clear" w:fill="e9e9e9"/>
          </w:tcPr>
          <w:p>
            <w:pPr>
              <w:jc w:val="center"/>
            </w:pPr>
            <w:r>
              <w:rPr>
                <w:sz w:val="22.5"/>
                <w:szCs w:val="22.5"/>
                <w:shd w:val="clear" w:fill="e9e9e9"/>
              </w:rPr>
              <w:t xml:space="preserve">Sin dedicación</w:t>
            </w:r>
          </w:p>
        </w:tc>
        <w:tc>
          <w:tcPr>
            <w:tcW w:w="5000" w:type="pct"/>
            <w:shd w:val="clear" w:fill="e9e9e9"/>
          </w:tcPr>
          <w:p>
            <w:pPr>
              <w:jc w:val="center"/>
            </w:pPr>
            <w:r>
              <w:rPr>
                <w:sz w:val="22.5"/>
                <w:szCs w:val="22.5"/>
                <w:shd w:val="clear" w:fill="e9e9e9"/>
              </w:rPr>
              <w:t xml:space="preserve"> </w:t>
            </w:r>
          </w:p>
        </w:tc>
      </w:tr>
      <w:tr>
        <w:trPr/>
        <w:tc>
          <w:tcPr>
            <w:tcW w:w="5000" w:type="pct"/>
            <w:shd w:val="clear" w:fill="e9e9e9"/>
          </w:tcPr>
          <w:p>
            <w:pPr/>
            <w:r>
              <w:rPr>
                <w:sz w:val="22.5"/>
                <w:szCs w:val="22.5"/>
                <w:shd w:val="clear" w:fill="e9e9e9"/>
              </w:rPr>
              <w:t xml:space="preserve">Nicolás Martín Ojeda González</w:t>
            </w:r>
          </w:p>
        </w:tc>
        <w:tc>
          <w:tcPr>
            <w:tcW w:w="5000" w:type="pct"/>
            <w:shd w:val="clear" w:fill="e9e9e9"/>
          </w:tcPr>
          <w:p>
            <w:pPr>
              <w:jc w:val="center"/>
            </w:pPr>
            <w:r>
              <w:rPr>
                <w:sz w:val="22.5"/>
                <w:szCs w:val="22.5"/>
                <w:shd w:val="clear" w:fill="e9e9e9"/>
              </w:rPr>
              <w:t xml:space="preserve">Sin dedicación</w:t>
            </w:r>
          </w:p>
        </w:tc>
        <w:tc>
          <w:tcPr>
            <w:tcW w:w="5000" w:type="pct"/>
            <w:shd w:val="clear" w:fill="e9e9e9"/>
          </w:tcPr>
          <w:p>
            <w:pPr>
              <w:jc w:val="center"/>
            </w:pPr>
            <w:r>
              <w:rPr>
                <w:sz w:val="22.5"/>
                <w:szCs w:val="22.5"/>
                <w:shd w:val="clear" w:fill="e9e9e9"/>
              </w:rPr>
              <w:t xml:space="preserve"> </w:t>
            </w:r>
          </w:p>
        </w:tc>
      </w:tr>
    </w:tbl>
    <w:p>
      <w:pPr/>
      <w:r>
        <w:rPr/>
        <w:t xml:space="preserve"> </w:t>
      </w:r>
    </w:p>
    <w:p>
      <w:pPr/>
      <w:r>
        <w:rPr/>
        <w:t xml:space="preserve"> ()</w:t>
      </w:r>
    </w:p>
    <w:p>
      <w:pPr/>
    </w:p>
    <w:p>
      <w:pPr/>
      <w:r>
        <w:rPr/>
        <w:t xml:space="preserve">El importe de las indemnizaciones por asistencias a Comisiones y Plenos de aquellos concejales que formen parte y que no tengan dedicación exclusiva ni dedicación parcial queda establecida en: </w:t>
      </w:r>
    </w:p>
    <w:p>
      <w:pPr/>
      <w:r>
        <w:rPr/>
        <w:t xml:space="preserve">- Asistencia a Plenos: 119,53 euros</w:t>
      </w:r>
    </w:p>
    <w:p>
      <w:pPr/>
      <w:r>
        <w:rPr/>
        <w:t xml:space="preserve">- Asistencias a Juntas de Gobierno Local: 119,53 euros</w:t>
      </w:r>
    </w:p>
    <w:p>
      <w:pPr/>
      <w:r>
        <w:rPr/>
        <w:t xml:space="preserve">- Asistencias a Comisiones Informativas: 35,86 euros.</w:t>
      </w:r>
    </w:p>
    <w:p>
      <w:pPr/>
      <w:r>
        <w:rPr/>
        <w:t xml:space="preserve"> </w:t>
      </w:r>
    </w:p>
    <w:p>
      <w:pPr/>
      <w:r>
        <w:rPr/>
        <w:t xml:space="preserve">Asignación a Grupos Políticos: Cada Grupo Político con representación en la Corporación una cuantía fija mensual, igual  para cada uno de ellos y cifrada en 20 euros, por Grupo/mes. Igualmente, se asigna a cada Grupo una cuantía de 73 euros, por Concejal/mes. </w:t>
      </w:r>
    </w:p>
    <w:p>
      <w:pPr>
        <w:pStyle w:val="Heading4"/>
      </w:pPr>
      <w:r>
        <w:rPr/>
        <w:t xml:space="preserve"> </w:t>
      </w:r>
    </w:p>
    <w:p>
      <w:pPr>
        <w:pStyle w:val="Heading4"/>
      </w:pPr>
      <w:r>
        <w:rPr/>
        <w:t xml:space="preserve">Atenciones protocolarias</w:t>
      </w:r>
    </w:p>
    <w:p>
      <w:pPr>
        <w:pStyle w:val="Heading4"/>
      </w:pPr>
      <w:r>
        <w:rPr/>
        <w:t xml:space="preserve"> </w:t>
      </w:r>
    </w:p>
    <w:p>
      <w:pPr>
        <w:pStyle w:val="Heading4"/>
      </w:pPr>
      <w:r>
        <w:rPr/>
        <w:t xml:space="preserve">Compatibilidades</w:t>
      </w:r>
    </w:p>
    <w:p>
      <w:pPr/>
    </w:p>
    <w:p>
      <w:pPr>
        <w:pStyle w:val="Heading4"/>
      </w:pPr>
      <w:r>
        <w:rPr/>
        <w:t xml:space="preserve"> </w:t>
      </w:r>
    </w:p>
    <w:p>
      <w:pPr>
        <w:pStyle w:val="Heading4"/>
      </w:pPr>
      <w:r>
        <w:rPr/>
        <w:t xml:space="preserve">Indemnizaciones o resoluciones al cese de los cargos </w:t>
      </w:r>
    </w:p>
    <w:p>
      <w:pPr/>
      <w:r>
        <w:rPr/>
        <w:t xml:space="preserve">El Ayuntamiento de la Villa de Moya no ha concedido indemnizaciones por ocasión del abandono del cargo durante el ejercicio 2021, 2022, 2023, 2024 ni 2025</w:t>
      </w:r>
    </w:p>
    <w:p>
      <w:pPr/>
      <w:r>
        <w:rPr/>
        <w:t xml:space="preserve"> </w:t>
      </w:r>
    </w:p>
    <w:p>
      <w:pPr/>
    </w:p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2026-06-24T08:30:33+00:00</dcterms:created>
  <dcterms:modified xsi:type="dcterms:W3CDTF">2026-06-24T08:30:33+00:00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