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4050" w:type="dxa"/>
        <w:gridCol w:w="96400" w:type="dxa"/>
        <w:gridCol w:w="300350" w:type="dxa"/>
        <w:gridCol w:w="3852550" w:type="dxa"/>
      </w:tblGrid>
      <w:tblPr>
        <w:tblW w:w="2050" w:type="pct"/>
        <w:tblLayout w:type="autofit"/>
        <w:bidiVisual w:val="0"/>
      </w:tblPr>
      <w:tr>
        <w:trPr>
          <w:tblHeader w:val="1"/>
        </w:trPr>
        <w:tc>
          <w:tcPr>
            <w:tcW w:w="214050" w:type="pct"/>
            <w:gridSpan w:val="2"/>
          </w:tcPr>
          <w:p>
            <w:pPr/>
            <w:r>
              <w:rPr/>
              <w:t xml:space="preserve">Denominación</w:t>
            </w:r>
          </w:p>
        </w:tc>
        <w:tc>
          <w:tcPr>
            <w:tcW w:w="96400" w:type="pct"/>
          </w:tcPr>
          <w:p>
            <w:pPr/>
            <w:r>
              <w:rPr/>
              <w:t xml:space="preserve">PDF</w:t>
            </w:r>
          </w:p>
        </w:tc>
        <w:tc>
          <w:tcPr>
            <w:tcW w:w="300350" w:type="pct"/>
          </w:tcPr>
          <w:p>
            <w:pPr/>
            <w:r>
              <w:rPr/>
              <w:t xml:space="preserve">ODS</w:t>
            </w:r>
          </w:p>
        </w:tc>
        <w:tc>
          <w:tcPr>
            <w:tcW w:w="3852550" w:type="pct"/>
          </w:tcPr>
          <w:p>
            <w:pPr/>
            <w:r>
              <w:rPr/>
              <w:t xml:space="preserve">BOE</w:t>
            </w:r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27/2013, de 27 de diciembre, de racionalización y sostenibilidad de la Administración Local 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2/2023, de 20 de febrero, Reguladora de la protección de las personas que informen sobre infracciones normativas y lucha contra la corrupción  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Real Decreto 2568/1986, de 28 de noviembre, por el que se aprueba el Reglamento de Organización, Funcionamiento y Régimen Jurídico de las Entidades Locales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Real Decreto 1690/1986, de 11 de Julio, por el que se aprueba del Reglamento de Población y Demarcación de las Entidades Locales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Real Decreto Legislativo 781/1986, de 18 de abril, por el que se aprueba el Texto Refundido de las disposiciones legales vigentes en materia de Régimen Local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7/1985, de 2 de abril, reguladora de las Bases de Régimen Local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Decreto de 17 de junio de 1955, por el que se aprueba el Reglamento de Servicios de las Corporaciones Locales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7/2015, de 1 de abril, de los municipios de Canarias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Códigos electrónicos - Código de Régimen Local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39/2015, de 1 de octubre, del Procedimiento Administrativo Común de las Administraciones Públicas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40/2015, de 1 de octubre, de Régimen Jurídico del Sector Público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9/2017, de 8 e noviembre, de Contratos del Sector Público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19/2013, de 9 de diciembre, de Transparencia, Acceso a la Información Pública y Buen Gobierno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  <w:tr>
        <w:trPr/>
        <w:tc>
          <w:tcPr>
            <w:tcW w:w="214050" w:type="pct"/>
            <w:gridSpan w:val="2"/>
          </w:tcPr>
          <w:p>
            <w:pPr>
              <w:jc w:val="both"/>
            </w:pPr>
            <w:r>
              <w:rPr>
                <w:b w:val="1"/>
                <w:bCs w:val="1"/>
              </w:rPr>
              <w:t xml:space="preserve">Ley 12/2014, de 26 de diciembre, de Transparencia y de Acceso a la Información Pública de Canarias</w:t>
            </w:r>
          </w:p>
        </w:tc>
        <w:tc>
          <w:tcPr>
            <w:tcW w:w="96400" w:type="pct"/>
          </w:tcPr>
          <w:p>
            <w:pPr/>
          </w:p>
        </w:tc>
        <w:tc>
          <w:tcPr>
            <w:tcW w:w="300350" w:type="pct"/>
          </w:tcPr>
          <w:p>
            <w:pPr/>
          </w:p>
        </w:tc>
        <w:tc>
          <w:tcPr>
            <w:tcW w:w="3852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2026-06-24T07:28:32+00:00</dcterms:created>
  <dcterms:modified xsi:type="dcterms:W3CDTF">2026-06-24T07:28:32+00:00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